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2B85" w14:textId="77777777" w:rsidR="000327B4" w:rsidRPr="00934648" w:rsidRDefault="000327B4" w:rsidP="000327B4">
      <w:pPr>
        <w:rPr>
          <w:rFonts w:ascii="Open Sans" w:hAnsi="Open Sans" w:cs="Open Sans"/>
          <w:b/>
          <w:szCs w:val="20"/>
        </w:rPr>
      </w:pPr>
      <w:bookmarkStart w:id="0" w:name="_Hlk86752920"/>
      <w:r w:rsidRPr="00934648">
        <w:rPr>
          <w:rFonts w:ascii="Open Sans" w:hAnsi="Open Sans" w:cs="Open Sans"/>
          <w:b/>
          <w:szCs w:val="20"/>
        </w:rPr>
        <w:t>BLOG ARTICLE FOR THE PLAN SPONSOR AUDIENCE</w:t>
      </w:r>
    </w:p>
    <w:p w14:paraId="1CF46031" w14:textId="77777777" w:rsidR="000327B4" w:rsidRPr="00934648" w:rsidRDefault="000327B4" w:rsidP="000327B4">
      <w:pPr>
        <w:pBdr>
          <w:bottom w:val="single" w:sz="4" w:space="1" w:color="auto"/>
        </w:pBdr>
        <w:rPr>
          <w:rFonts w:ascii="Open Sans" w:hAnsi="Open Sans" w:cs="Open Sans"/>
          <w:b/>
          <w:szCs w:val="20"/>
        </w:rPr>
      </w:pPr>
      <w:r w:rsidRPr="00934648">
        <w:rPr>
          <w:rFonts w:ascii="Open Sans" w:hAnsi="Open Sans" w:cs="Open Sans"/>
          <w:b/>
          <w:szCs w:val="20"/>
        </w:rPr>
        <w:t>Overview</w:t>
      </w:r>
    </w:p>
    <w:p w14:paraId="661AE73A" w14:textId="77777777" w:rsidR="000327B4" w:rsidRPr="00934648" w:rsidRDefault="000327B4" w:rsidP="000327B4">
      <w:pPr>
        <w:pBdr>
          <w:bottom w:val="single" w:sz="4" w:space="1" w:color="auto"/>
        </w:pBdr>
        <w:rPr>
          <w:rFonts w:ascii="Open Sans" w:hAnsi="Open Sans" w:cs="Open Sans"/>
          <w:szCs w:val="20"/>
        </w:rPr>
      </w:pPr>
      <w:r w:rsidRPr="00934648">
        <w:rPr>
          <w:rFonts w:ascii="Open Sans" w:hAnsi="Open Sans" w:cs="Open Sans"/>
          <w:szCs w:val="20"/>
        </w:rPr>
        <w:t xml:space="preserve">A blog is an online article. It is typically posted on your website </w:t>
      </w:r>
      <w:r>
        <w:rPr>
          <w:rFonts w:ascii="Open Sans" w:hAnsi="Open Sans" w:cs="Open Sans"/>
          <w:szCs w:val="20"/>
        </w:rPr>
        <w:t>and</w:t>
      </w:r>
      <w:r w:rsidRPr="00934648">
        <w:rPr>
          <w:rFonts w:ascii="Open Sans" w:hAnsi="Open Sans" w:cs="Open Sans"/>
          <w:szCs w:val="20"/>
        </w:rPr>
        <w:t xml:space="preserve"> describes a specific plan sponsor topic </w:t>
      </w:r>
      <w:r>
        <w:rPr>
          <w:rFonts w:ascii="Open Sans" w:hAnsi="Open Sans" w:cs="Open Sans"/>
          <w:szCs w:val="20"/>
        </w:rPr>
        <w:t>or</w:t>
      </w:r>
      <w:r w:rsidRPr="00934648">
        <w:rPr>
          <w:rFonts w:ascii="Open Sans" w:hAnsi="Open Sans" w:cs="Open Sans"/>
          <w:szCs w:val="20"/>
        </w:rPr>
        <w:t xml:space="preserve"> area of interest.  It is a helpful way to stay in front of your clients, prospects and center</w:t>
      </w:r>
      <w:r>
        <w:rPr>
          <w:rFonts w:ascii="Open Sans" w:hAnsi="Open Sans" w:cs="Open Sans"/>
          <w:szCs w:val="20"/>
        </w:rPr>
        <w:t>s</w:t>
      </w:r>
      <w:r w:rsidRPr="00934648">
        <w:rPr>
          <w:rFonts w:ascii="Open Sans" w:hAnsi="Open Sans" w:cs="Open Sans"/>
          <w:szCs w:val="20"/>
        </w:rPr>
        <w:t xml:space="preserve"> of influence. Having a blog and writing about important topics establishes you as an authority in your marketplace, enhances your professional reputation and boosts your digital prominence.</w:t>
      </w:r>
    </w:p>
    <w:p w14:paraId="31259B73" w14:textId="77777777" w:rsidR="000327B4" w:rsidRPr="00934648" w:rsidRDefault="000327B4" w:rsidP="000327B4">
      <w:pPr>
        <w:pBdr>
          <w:bottom w:val="single" w:sz="4" w:space="1" w:color="auto"/>
        </w:pBdr>
        <w:rPr>
          <w:rFonts w:ascii="Open Sans" w:hAnsi="Open Sans" w:cs="Open Sans"/>
          <w:b/>
          <w:szCs w:val="20"/>
        </w:rPr>
      </w:pPr>
      <w:r w:rsidRPr="00934648">
        <w:rPr>
          <w:rFonts w:ascii="Open Sans" w:hAnsi="Open Sans" w:cs="Open Sans"/>
          <w:b/>
          <w:szCs w:val="20"/>
        </w:rPr>
        <w:t>Directions</w:t>
      </w:r>
    </w:p>
    <w:p w14:paraId="0AC95C87" w14:textId="77777777" w:rsidR="000327B4" w:rsidRPr="00934648" w:rsidRDefault="000327B4" w:rsidP="000327B4">
      <w:pPr>
        <w:rPr>
          <w:rFonts w:ascii="Open Sans" w:hAnsi="Open Sans" w:cs="Open Sans"/>
          <w:szCs w:val="20"/>
        </w:rPr>
      </w:pPr>
      <w:r w:rsidRPr="00934648">
        <w:rPr>
          <w:rFonts w:ascii="Open Sans" w:hAnsi="Open Sans" w:cs="Open Sans"/>
          <w:b/>
          <w:szCs w:val="20"/>
        </w:rPr>
        <w:t>Step 1:</w:t>
      </w:r>
      <w:r w:rsidRPr="00934648">
        <w:rPr>
          <w:rFonts w:ascii="Open Sans" w:hAnsi="Open Sans" w:cs="Open Sans"/>
          <w:szCs w:val="20"/>
        </w:rPr>
        <w:t xml:space="preserve"> Read the enclosed blog article. </w:t>
      </w:r>
    </w:p>
    <w:p w14:paraId="69EF6109" w14:textId="77777777" w:rsidR="000327B4" w:rsidRPr="00934648" w:rsidRDefault="000327B4" w:rsidP="000327B4">
      <w:pPr>
        <w:rPr>
          <w:rFonts w:ascii="Open Sans" w:hAnsi="Open Sans" w:cs="Open Sans"/>
          <w:szCs w:val="20"/>
        </w:rPr>
      </w:pPr>
      <w:r w:rsidRPr="00934648">
        <w:rPr>
          <w:rFonts w:ascii="Open Sans" w:hAnsi="Open Sans" w:cs="Open Sans"/>
          <w:b/>
          <w:szCs w:val="20"/>
        </w:rPr>
        <w:t>Step 2:</w:t>
      </w:r>
      <w:r w:rsidRPr="00934648">
        <w:rPr>
          <w:rFonts w:ascii="Open Sans" w:hAnsi="Open Sans" w:cs="Open Sans"/>
          <w:szCs w:val="20"/>
        </w:rPr>
        <w:t xml:space="preserve"> Submit to your compliance department. (Pre-approved through LPL Financial.)</w:t>
      </w:r>
    </w:p>
    <w:p w14:paraId="1F6A86BD" w14:textId="77777777" w:rsidR="000327B4" w:rsidRPr="00934648" w:rsidRDefault="000327B4" w:rsidP="000327B4">
      <w:pPr>
        <w:rPr>
          <w:rFonts w:ascii="Open Sans" w:hAnsi="Open Sans" w:cs="Open Sans"/>
          <w:szCs w:val="20"/>
        </w:rPr>
      </w:pPr>
      <w:r w:rsidRPr="00934648">
        <w:rPr>
          <w:rFonts w:ascii="Open Sans" w:hAnsi="Open Sans" w:cs="Open Sans"/>
          <w:b/>
          <w:szCs w:val="20"/>
        </w:rPr>
        <w:t>Step 3:</w:t>
      </w:r>
      <w:r w:rsidRPr="00934648">
        <w:rPr>
          <w:rFonts w:ascii="Open Sans" w:hAnsi="Open Sans" w:cs="Open Sans"/>
          <w:szCs w:val="20"/>
        </w:rPr>
        <w:t xml:space="preserve"> After the article is compliance approved, post on your website and your LinkedIn profile.  </w:t>
      </w:r>
    </w:p>
    <w:p w14:paraId="54BFCCC9" w14:textId="77777777" w:rsidR="000327B4" w:rsidRPr="00934648" w:rsidRDefault="000327B4" w:rsidP="000327B4">
      <w:pPr>
        <w:rPr>
          <w:rFonts w:ascii="Open Sans" w:hAnsi="Open Sans" w:cs="Open Sans"/>
          <w:szCs w:val="20"/>
        </w:rPr>
      </w:pPr>
      <w:r w:rsidRPr="00934648">
        <w:rPr>
          <w:rFonts w:ascii="Open Sans" w:hAnsi="Open Sans" w:cs="Open Sans"/>
          <w:szCs w:val="20"/>
        </w:rPr>
        <w:t xml:space="preserve">Need help? We’re always here to support you. </w:t>
      </w:r>
    </w:p>
    <w:p w14:paraId="5D2029D6" w14:textId="77777777" w:rsidR="000327B4" w:rsidRPr="00934648" w:rsidRDefault="00000000" w:rsidP="000327B4">
      <w:pPr>
        <w:pBdr>
          <w:bottom w:val="single" w:sz="4" w:space="1" w:color="auto"/>
        </w:pBdr>
        <w:spacing w:after="0"/>
        <w:rPr>
          <w:rStyle w:val="Hyperlink"/>
          <w:rFonts w:ascii="Open Sans" w:hAnsi="Open Sans" w:cs="Open Sans"/>
          <w:szCs w:val="20"/>
        </w:rPr>
      </w:pPr>
      <w:hyperlink r:id="rId7" w:history="1">
        <w:r w:rsidR="000327B4" w:rsidRPr="00934648">
          <w:rPr>
            <w:rStyle w:val="Hyperlink"/>
            <w:rFonts w:ascii="Open Sans" w:hAnsi="Open Sans" w:cs="Open Sans"/>
            <w:szCs w:val="20"/>
          </w:rPr>
          <w:t>Book time directly</w:t>
        </w:r>
      </w:hyperlink>
    </w:p>
    <w:p w14:paraId="35F1E962" w14:textId="77777777" w:rsidR="000327B4" w:rsidRPr="00934648" w:rsidRDefault="000327B4" w:rsidP="000327B4">
      <w:pPr>
        <w:rPr>
          <w:rStyle w:val="Hyperlink"/>
          <w:rFonts w:ascii="Open Sans" w:hAnsi="Open Sans" w:cs="Open Sans"/>
          <w:szCs w:val="20"/>
        </w:rPr>
      </w:pPr>
    </w:p>
    <w:p w14:paraId="1C932AFF" w14:textId="77777777" w:rsidR="000327B4" w:rsidRPr="00934648" w:rsidRDefault="000327B4" w:rsidP="000327B4">
      <w:pPr>
        <w:pBdr>
          <w:bottom w:val="single" w:sz="4" w:space="0" w:color="auto"/>
        </w:pBdr>
        <w:rPr>
          <w:rFonts w:ascii="Open Sans" w:hAnsi="Open Sans" w:cs="Open Sans"/>
          <w:b/>
          <w:szCs w:val="20"/>
        </w:rPr>
      </w:pPr>
      <w:r w:rsidRPr="00934648">
        <w:rPr>
          <w:rFonts w:ascii="Open Sans" w:hAnsi="Open Sans" w:cs="Open Sans"/>
          <w:b/>
          <w:szCs w:val="20"/>
        </w:rPr>
        <w:t xml:space="preserve">Image </w:t>
      </w:r>
    </w:p>
    <w:p w14:paraId="54E53CAC" w14:textId="77777777" w:rsidR="000327B4" w:rsidRPr="00920165" w:rsidRDefault="000327B4" w:rsidP="000327B4">
      <w:pPr>
        <w:pBdr>
          <w:top w:val="nil"/>
          <w:left w:val="nil"/>
          <w:bottom w:val="nil"/>
          <w:right w:val="nil"/>
          <w:between w:val="nil"/>
        </w:pBdr>
        <w:shd w:val="clear" w:color="auto" w:fill="FFFFFF"/>
        <w:spacing w:before="100" w:after="100" w:line="240" w:lineRule="auto"/>
        <w:rPr>
          <w:rFonts w:ascii="Open Sans" w:eastAsia="Open Sans" w:hAnsi="Open Sans" w:cs="Open Sans"/>
          <w:color w:val="000000"/>
          <w:szCs w:val="20"/>
          <w:highlight w:val="white"/>
        </w:rPr>
      </w:pPr>
      <w:r w:rsidRPr="00934648">
        <w:rPr>
          <w:rFonts w:ascii="Open Sans" w:eastAsia="Open Sans" w:hAnsi="Open Sans" w:cs="Open Sans"/>
          <w:color w:val="000000"/>
          <w:szCs w:val="20"/>
          <w:highlight w:val="white"/>
        </w:rPr>
        <w:t xml:space="preserve">Articles with images get more clicks! You will find an optimized title image provided to help you promote this article on your blog, LinkedIn, and anywhere else you share your article! </w:t>
      </w:r>
    </w:p>
    <w:p w14:paraId="5CC2027A" w14:textId="7E467656" w:rsidR="000327B4" w:rsidRPr="00934648" w:rsidRDefault="00C849D3" w:rsidP="000327B4">
      <w:pPr>
        <w:rPr>
          <w:rFonts w:ascii="Open Sans" w:hAnsi="Open Sans" w:cs="Open Sans"/>
          <w:b/>
          <w:color w:val="7030A0"/>
          <w:szCs w:val="20"/>
        </w:rPr>
      </w:pPr>
      <w:r>
        <w:rPr>
          <w:rFonts w:ascii="Open Sans" w:hAnsi="Open Sans" w:cs="Open Sans"/>
          <w:b/>
          <w:noProof/>
          <w:color w:val="7030A0"/>
          <w:szCs w:val="20"/>
        </w:rPr>
        <w:drawing>
          <wp:inline distT="0" distB="0" distL="0" distR="0" wp14:anchorId="625EEDA5" wp14:editId="71AC8243">
            <wp:extent cx="5943600" cy="3390900"/>
            <wp:effectExtent l="0" t="0" r="0" b="0"/>
            <wp:docPr id="20794259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90900"/>
                    </a:xfrm>
                    <a:prstGeom prst="rect">
                      <a:avLst/>
                    </a:prstGeom>
                    <a:noFill/>
                    <a:ln>
                      <a:noFill/>
                    </a:ln>
                  </pic:spPr>
                </pic:pic>
              </a:graphicData>
            </a:graphic>
          </wp:inline>
        </w:drawing>
      </w:r>
    </w:p>
    <w:p w14:paraId="19E5FD21" w14:textId="77777777" w:rsidR="000327B4" w:rsidRDefault="000327B4" w:rsidP="000327B4">
      <w:pPr>
        <w:pBdr>
          <w:bottom w:val="single" w:sz="4" w:space="1" w:color="auto"/>
        </w:pBdr>
        <w:rPr>
          <w:rStyle w:val="None"/>
          <w:rFonts w:ascii="Open Sans" w:hAnsi="Open Sans" w:cs="Open Sans"/>
          <w:b/>
          <w:bCs/>
          <w:szCs w:val="20"/>
          <w:shd w:val="clear" w:color="auto" w:fill="FFFFFF"/>
        </w:rPr>
      </w:pPr>
      <w:bookmarkStart w:id="1" w:name="_Hlk78372702"/>
      <w:bookmarkStart w:id="2" w:name="_Hlk78372787"/>
    </w:p>
    <w:p w14:paraId="272CA9AA" w14:textId="77777777" w:rsidR="000327B4" w:rsidRDefault="000327B4" w:rsidP="000327B4">
      <w:pPr>
        <w:pBdr>
          <w:bottom w:val="single" w:sz="4" w:space="1" w:color="auto"/>
        </w:pBdr>
        <w:rPr>
          <w:rStyle w:val="None"/>
          <w:rFonts w:ascii="Open Sans" w:hAnsi="Open Sans" w:cs="Open Sans"/>
          <w:b/>
          <w:bCs/>
          <w:szCs w:val="20"/>
          <w:shd w:val="clear" w:color="auto" w:fill="FFFFFF"/>
        </w:rPr>
      </w:pPr>
    </w:p>
    <w:p w14:paraId="71B0A407" w14:textId="77777777" w:rsidR="000327B4" w:rsidRPr="00661F71" w:rsidRDefault="000327B4" w:rsidP="000327B4">
      <w:pPr>
        <w:pBdr>
          <w:bottom w:val="single" w:sz="4" w:space="1" w:color="auto"/>
        </w:pBdr>
        <w:rPr>
          <w:rFonts w:ascii="Open Sans" w:hAnsi="Open Sans" w:cs="Open Sans"/>
          <w:b/>
          <w:bCs/>
          <w:szCs w:val="20"/>
        </w:rPr>
      </w:pPr>
      <w:r w:rsidRPr="00661F71">
        <w:rPr>
          <w:rFonts w:ascii="Open Sans" w:hAnsi="Open Sans" w:cs="Open Sans"/>
          <w:b/>
          <w:bCs/>
          <w:szCs w:val="20"/>
        </w:rPr>
        <w:lastRenderedPageBreak/>
        <w:t>Blog Article</w:t>
      </w:r>
    </w:p>
    <w:bookmarkEnd w:id="1"/>
    <w:bookmarkEnd w:id="2"/>
    <w:p w14:paraId="642E5EB8" w14:textId="77777777" w:rsidR="000327B4" w:rsidRPr="000327B4" w:rsidRDefault="000327B4" w:rsidP="000327B4">
      <w:pPr>
        <w:pStyle w:val="Subtitle"/>
        <w:rPr>
          <w:rStyle w:val="TitleChar"/>
          <w:i w:val="0"/>
          <w:iCs w:val="0"/>
        </w:rPr>
      </w:pPr>
      <w:r w:rsidRPr="000327B4">
        <w:rPr>
          <w:rStyle w:val="TitleChar"/>
          <w:i w:val="0"/>
          <w:iCs w:val="0"/>
        </w:rPr>
        <w:t xml:space="preserve">Helping Early-Career Employees Navigate the Saving Maze </w:t>
      </w:r>
    </w:p>
    <w:p w14:paraId="0235C019" w14:textId="0E63DAE4" w:rsidR="000327B4" w:rsidRPr="00614C48" w:rsidRDefault="000327B4" w:rsidP="000327B4">
      <w:pPr>
        <w:rPr>
          <w:rFonts w:ascii="Open Sans" w:hAnsi="Open Sans" w:cs="Open Sans"/>
          <w:b/>
          <w:color w:val="7030A0"/>
          <w:szCs w:val="20"/>
        </w:rPr>
      </w:pPr>
      <w:r w:rsidRPr="00031054">
        <w:rPr>
          <w:rFonts w:eastAsia="Calibri" w:cs="Open Sans"/>
          <w:b/>
          <w:bCs/>
          <w:color w:val="000000"/>
          <w:szCs w:val="20"/>
          <w:u w:color="000000"/>
          <w:bdr w:val="nil"/>
          <w:shd w:val="clear" w:color="auto" w:fill="FFFFFF"/>
          <w14:textOutline w14:w="0" w14:cap="flat" w14:cmpd="sng" w14:algn="ctr">
            <w14:noFill/>
            <w14:prstDash w14:val="solid"/>
            <w14:bevel/>
          </w14:textOutline>
        </w:rPr>
        <w:t>Ways to boost financial confidence and loyalty for Gen Z employees</w:t>
      </w:r>
    </w:p>
    <w:p w14:paraId="63172B83" w14:textId="77777777" w:rsidR="000327B4" w:rsidRPr="00614C48" w:rsidRDefault="000327B4" w:rsidP="00891BCC">
      <w:pPr>
        <w:rPr>
          <w:rFonts w:ascii="Open Sans" w:hAnsi="Open Sans" w:cs="Open Sans"/>
          <w:b/>
          <w:color w:val="7030A0"/>
          <w:szCs w:val="20"/>
        </w:rPr>
      </w:pPr>
    </w:p>
    <w:p w14:paraId="36BE17FF" w14:textId="77777777" w:rsidR="00891BCC" w:rsidRPr="00891BCC" w:rsidRDefault="00891BCC" w:rsidP="00891BCC">
      <w:pPr>
        <w:rPr>
          <w:rFonts w:cs="Open Sans"/>
          <w:szCs w:val="20"/>
        </w:rPr>
      </w:pPr>
      <w:r w:rsidRPr="00891BCC">
        <w:rPr>
          <w:rFonts w:cs="Open Sans"/>
          <w:szCs w:val="20"/>
        </w:rPr>
        <w:t>Have you ever found yourself pondering the classic "If only I could rewind the clock and share some pearls of wisdom with my younger self" scenario? As an employer, you have the chance to share this knowledge with your employees, especially when it comes to saving for the future.</w:t>
      </w:r>
    </w:p>
    <w:p w14:paraId="35AB6F26" w14:textId="77777777" w:rsidR="00891BCC" w:rsidRPr="00891BCC" w:rsidRDefault="00891BCC" w:rsidP="00891BCC">
      <w:pPr>
        <w:pStyle w:val="Heading2"/>
      </w:pPr>
      <w:r w:rsidRPr="00891BCC">
        <w:t xml:space="preserve">The Impact of Early-Career Saving Hurdles </w:t>
      </w:r>
    </w:p>
    <w:p w14:paraId="0CD3D2A9" w14:textId="77777777" w:rsidR="00891BCC" w:rsidRPr="00891BCC" w:rsidRDefault="00891BCC" w:rsidP="00891BCC">
      <w:pPr>
        <w:rPr>
          <w:rFonts w:cs="Open Sans"/>
          <w:szCs w:val="20"/>
        </w:rPr>
      </w:pPr>
      <w:r w:rsidRPr="00891BCC">
        <w:rPr>
          <w:rFonts w:cs="Open Sans"/>
          <w:szCs w:val="20"/>
        </w:rPr>
        <w:t>While everyone encounters challenges, certain obstacles tend to affect individuals early on in their careers more than their senior counterparts. Factors such as inflation, the cost of living, student loans, and impulsive 401(k) cash outs can significantly influence their financial well-being.</w:t>
      </w:r>
    </w:p>
    <w:p w14:paraId="3545464E" w14:textId="77777777" w:rsidR="00891BCC" w:rsidRPr="00891BCC" w:rsidRDefault="00891BCC" w:rsidP="00891BCC">
      <w:pPr>
        <w:rPr>
          <w:rFonts w:cs="Open Sans"/>
          <w:szCs w:val="20"/>
        </w:rPr>
      </w:pPr>
      <w:r w:rsidRPr="00891BCC">
        <w:rPr>
          <w:rFonts w:cs="Open Sans"/>
          <w:szCs w:val="20"/>
        </w:rPr>
        <w:t xml:space="preserve">Gen Z employees, aged 18-24, emphasize that their overall well-being significantly influences their productivity. Many hold high expectations of their employers, expecting them to take responsibility for their financial wellness, provide retirement income, and offer guidance on investing in their 401(k) plans.  </w:t>
      </w:r>
    </w:p>
    <w:p w14:paraId="3DA6FEEB" w14:textId="77777777" w:rsidR="00891BCC" w:rsidRPr="00891BCC" w:rsidRDefault="00891BCC" w:rsidP="00891BCC">
      <w:pPr>
        <w:rPr>
          <w:rFonts w:cs="Open Sans"/>
          <w:szCs w:val="20"/>
        </w:rPr>
      </w:pPr>
      <w:r w:rsidRPr="00891BCC">
        <w:rPr>
          <w:rFonts w:cs="Open Sans"/>
          <w:szCs w:val="20"/>
        </w:rPr>
        <w:t>Let’s explore some of the challenges faced by employees in their early careers and discuss practical solutions we can help implement to empower them.</w:t>
      </w:r>
    </w:p>
    <w:p w14:paraId="4A8E5C61" w14:textId="77777777" w:rsidR="00891BCC" w:rsidRPr="00891BCC" w:rsidRDefault="00891BCC" w:rsidP="00891BCC">
      <w:pPr>
        <w:pStyle w:val="Heading2"/>
      </w:pPr>
      <w:r w:rsidRPr="00891BCC">
        <w:t>Combating the Burden of Education Debt</w:t>
      </w:r>
    </w:p>
    <w:p w14:paraId="527ADB5D" w14:textId="77777777" w:rsidR="00891BCC" w:rsidRPr="00891BCC" w:rsidRDefault="00891BCC" w:rsidP="00891BCC">
      <w:pPr>
        <w:rPr>
          <w:rFonts w:cs="Open Sans"/>
          <w:szCs w:val="20"/>
        </w:rPr>
      </w:pPr>
      <w:r w:rsidRPr="00891BCC">
        <w:rPr>
          <w:rFonts w:cs="Open Sans"/>
          <w:szCs w:val="20"/>
        </w:rPr>
        <w:t>Now that the student loan freeze has ended, some individuals are encountering this issue for the first time, while others are readjusting. The weight of education debt can hinder the employee’s ability to contribute to their retirement savings, delaying their progress toward financial independence. Under the new rules in SECURE 2.0, employers can match contributions to retirement plans based on employees' student loan payments. This benefits individuals with student loans who might have refrained from contributing to a retirement plan, thereby missing out on employer matches and potential long-term savings. This simplified approach removes the complexity associated with previous non-elective contribution programs, which were subject to strict design and compliance requirements.</w:t>
      </w:r>
    </w:p>
    <w:p w14:paraId="4E3E6EBA" w14:textId="77777777" w:rsidR="00891BCC" w:rsidRPr="00891BCC" w:rsidRDefault="00891BCC" w:rsidP="00891BCC">
      <w:pPr>
        <w:pStyle w:val="Heading2"/>
      </w:pPr>
      <w:r w:rsidRPr="00891BCC">
        <w:t xml:space="preserve">Saving in the Face of Inflation </w:t>
      </w:r>
    </w:p>
    <w:p w14:paraId="4C2ABDA5" w14:textId="77777777" w:rsidR="00891BCC" w:rsidRPr="00891BCC" w:rsidRDefault="00891BCC" w:rsidP="00891BCC">
      <w:pPr>
        <w:rPr>
          <w:rFonts w:cs="Open Sans"/>
          <w:szCs w:val="20"/>
        </w:rPr>
      </w:pPr>
      <w:r w:rsidRPr="00891BCC">
        <w:rPr>
          <w:rFonts w:cs="Open Sans"/>
          <w:szCs w:val="20"/>
        </w:rPr>
        <w:t xml:space="preserve">Additional forces such as high cost of living and inflation serve as barriers to retirement savings, but younger employees seem to have the desire to save. </w:t>
      </w:r>
    </w:p>
    <w:p w14:paraId="1EBA483F" w14:textId="77777777" w:rsidR="00891BCC" w:rsidRPr="00891BCC" w:rsidRDefault="00891BCC" w:rsidP="00891BCC">
      <w:pPr>
        <w:rPr>
          <w:rFonts w:cs="Open Sans"/>
          <w:szCs w:val="20"/>
        </w:rPr>
      </w:pPr>
      <w:r w:rsidRPr="00891BCC">
        <w:rPr>
          <w:rFonts w:cs="Open Sans"/>
          <w:szCs w:val="20"/>
        </w:rPr>
        <w:t>To encourage saving, the IRS provides a special tax credit, offering low- and moderate-income earners an additional incentive to save for retirement. If employees qualify for the Retirement Savings Contributions Credit, or Saver’s Credit, they might reduce their tax bill by up to $1,000 ($2,000 for a married couple filing jointly).</w:t>
      </w:r>
    </w:p>
    <w:p w14:paraId="6B72628A" w14:textId="77777777" w:rsidR="00891BCC" w:rsidRPr="00891BCC" w:rsidRDefault="00891BCC" w:rsidP="00891BCC">
      <w:pPr>
        <w:pStyle w:val="Heading2"/>
      </w:pPr>
      <w:r w:rsidRPr="00891BCC">
        <w:lastRenderedPageBreak/>
        <w:t xml:space="preserve">The Gift of Time in the Market </w:t>
      </w:r>
    </w:p>
    <w:p w14:paraId="1E3B372E" w14:textId="77777777" w:rsidR="00891BCC" w:rsidRPr="00891BCC" w:rsidRDefault="00891BCC" w:rsidP="00891BCC">
      <w:pPr>
        <w:rPr>
          <w:rFonts w:cs="Open Sans"/>
          <w:szCs w:val="20"/>
        </w:rPr>
      </w:pPr>
      <w:r w:rsidRPr="00891BCC">
        <w:rPr>
          <w:rFonts w:cs="Open Sans"/>
          <w:szCs w:val="20"/>
        </w:rPr>
        <w:t xml:space="preserve">With time on their side, even small savings increments will have time to compound. This is where automatic plan design can be a very powerful tool to nudge savings. </w:t>
      </w:r>
    </w:p>
    <w:p w14:paraId="60C09AAE" w14:textId="77777777" w:rsidR="00891BCC" w:rsidRPr="00891BCC" w:rsidRDefault="00891BCC" w:rsidP="00891BCC">
      <w:pPr>
        <w:pStyle w:val="ListParagraph"/>
        <w:numPr>
          <w:ilvl w:val="0"/>
          <w:numId w:val="2"/>
        </w:numPr>
        <w:rPr>
          <w:rFonts w:cs="Open Sans"/>
          <w:szCs w:val="20"/>
        </w:rPr>
      </w:pPr>
      <w:r w:rsidRPr="00891BCC">
        <w:rPr>
          <w:rFonts w:cs="Open Sans"/>
          <w:b/>
          <w:bCs/>
          <w:szCs w:val="20"/>
        </w:rPr>
        <w:t>Auto-enrollment</w:t>
      </w:r>
      <w:r w:rsidRPr="00891BCC">
        <w:rPr>
          <w:rFonts w:cs="Open Sans"/>
          <w:szCs w:val="20"/>
        </w:rPr>
        <w:t xml:space="preserve"> ensures that employees are automatically enrolled in the 401(k) plan. This enhances participation while maintaining flexibility, as employees have the option to opt out at any time. </w:t>
      </w:r>
    </w:p>
    <w:p w14:paraId="57FADD2D" w14:textId="77777777" w:rsidR="00891BCC" w:rsidRPr="00891BCC" w:rsidRDefault="00891BCC" w:rsidP="00891BCC">
      <w:pPr>
        <w:pStyle w:val="ListParagraph"/>
        <w:numPr>
          <w:ilvl w:val="0"/>
          <w:numId w:val="2"/>
        </w:numPr>
        <w:rPr>
          <w:rFonts w:cs="Open Sans"/>
          <w:szCs w:val="20"/>
        </w:rPr>
      </w:pPr>
      <w:r w:rsidRPr="00891BCC">
        <w:rPr>
          <w:rFonts w:cs="Open Sans"/>
          <w:b/>
          <w:bCs/>
          <w:szCs w:val="20"/>
        </w:rPr>
        <w:t>Auto-escalation</w:t>
      </w:r>
      <w:r w:rsidRPr="00891BCC">
        <w:rPr>
          <w:rFonts w:cs="Open Sans"/>
          <w:szCs w:val="20"/>
        </w:rPr>
        <w:t xml:space="preserve"> gradually increases employees' contribution rates over time, typically by 1 – 2% per year. This feature not only instills a savings habit but also helps employees grow their retirement savings without requiring active involvement.</w:t>
      </w:r>
    </w:p>
    <w:p w14:paraId="4E03EAA1" w14:textId="77777777" w:rsidR="00891BCC" w:rsidRPr="00891BCC" w:rsidRDefault="00891BCC" w:rsidP="00891BCC">
      <w:pPr>
        <w:pStyle w:val="ListParagraph"/>
        <w:numPr>
          <w:ilvl w:val="0"/>
          <w:numId w:val="2"/>
        </w:numPr>
        <w:rPr>
          <w:rFonts w:cs="Open Sans"/>
          <w:szCs w:val="20"/>
        </w:rPr>
      </w:pPr>
      <w:r w:rsidRPr="00891BCC">
        <w:rPr>
          <w:rFonts w:cs="Open Sans"/>
          <w:b/>
          <w:bCs/>
          <w:szCs w:val="20"/>
        </w:rPr>
        <w:t>Preventing cash outs</w:t>
      </w:r>
      <w:r w:rsidRPr="00891BCC">
        <w:rPr>
          <w:rFonts w:cs="Open Sans"/>
          <w:szCs w:val="20"/>
        </w:rPr>
        <w:t xml:space="preserve"> is another way to keep employees invested. This can be done by limiting loans at the plan level. Additionally, it is an opportunity to educate employees on their roll-in and rollover options when joining or leaving the company. </w:t>
      </w:r>
    </w:p>
    <w:p w14:paraId="074CEFD1" w14:textId="77777777" w:rsidR="00891BCC" w:rsidRPr="00891BCC" w:rsidRDefault="00891BCC" w:rsidP="00891BCC">
      <w:pPr>
        <w:rPr>
          <w:rFonts w:cs="Open Sans"/>
          <w:szCs w:val="20"/>
        </w:rPr>
      </w:pPr>
      <w:r w:rsidRPr="00891BCC">
        <w:rPr>
          <w:rFonts w:cs="Open Sans"/>
          <w:szCs w:val="20"/>
        </w:rPr>
        <w:t xml:space="preserve">Encourage younger employees to save, keep saving, and roll over their 401(k) assets, no matter how small. This habit will help them develop a continuous savings pattern which can set them up for a financially secure future. </w:t>
      </w:r>
    </w:p>
    <w:p w14:paraId="2D98E9C9" w14:textId="77777777" w:rsidR="00891BCC" w:rsidRPr="00891BCC" w:rsidRDefault="00891BCC" w:rsidP="00891BCC">
      <w:pPr>
        <w:pStyle w:val="Heading2"/>
      </w:pPr>
      <w:r w:rsidRPr="00891BCC">
        <w:t xml:space="preserve">Increasing Financial Literacy </w:t>
      </w:r>
    </w:p>
    <w:p w14:paraId="5E4D9B16" w14:textId="77777777" w:rsidR="00891BCC" w:rsidRPr="00891BCC" w:rsidRDefault="00891BCC" w:rsidP="00891BCC">
      <w:pPr>
        <w:rPr>
          <w:rFonts w:cs="Open Sans"/>
          <w:szCs w:val="20"/>
        </w:rPr>
      </w:pPr>
      <w:r w:rsidRPr="00891BCC">
        <w:rPr>
          <w:rFonts w:cs="Open Sans"/>
          <w:szCs w:val="20"/>
        </w:rPr>
        <w:t xml:space="preserve">Because many employees look to their employers for help with financial wellness, an opportunity exists to make an impact. By offering employee education resources or one-to-one meetings, we can help employees build financial confidence. This empowers them to make smart choices, affording them a feeling of control over their financial future. </w:t>
      </w:r>
    </w:p>
    <w:p w14:paraId="62437761" w14:textId="77777777" w:rsidR="00891BCC" w:rsidRPr="00891BCC" w:rsidRDefault="00891BCC" w:rsidP="00891BCC">
      <w:pPr>
        <w:pStyle w:val="Heading2"/>
      </w:pPr>
      <w:r w:rsidRPr="00891BCC">
        <w:t>Elevate Savings</w:t>
      </w:r>
    </w:p>
    <w:p w14:paraId="51479CA7" w14:textId="77777777" w:rsidR="00891BCC" w:rsidRPr="00891BCC" w:rsidRDefault="00891BCC" w:rsidP="00891BCC">
      <w:pPr>
        <w:rPr>
          <w:rFonts w:cs="Open Sans"/>
          <w:szCs w:val="20"/>
        </w:rPr>
      </w:pPr>
      <w:r w:rsidRPr="00891BCC">
        <w:rPr>
          <w:rFonts w:cs="Open Sans"/>
          <w:szCs w:val="20"/>
        </w:rPr>
        <w:t>Addressing the early-career savings hurdles requires a multifaceted approach. Employers who invest in their employees' financial well-being not only contribute to a more secure retirement but also foster a workforce that is engaged, focused, and motivated. By exploring these solutions, companies can play a vital role in empowering their employees to overcome financial challenges, which can set the stage for a prosperous and secure future.</w:t>
      </w:r>
    </w:p>
    <w:p w14:paraId="126AF5A2" w14:textId="77777777" w:rsidR="000327B4" w:rsidRPr="00614C48" w:rsidRDefault="000327B4" w:rsidP="000327B4">
      <w:pPr>
        <w:jc w:val="center"/>
        <w:rPr>
          <w:rFonts w:ascii="Open Sans" w:hAnsi="Open Sans" w:cs="Open Sans"/>
          <w:b/>
          <w:szCs w:val="20"/>
        </w:rPr>
      </w:pPr>
    </w:p>
    <w:p w14:paraId="2C5E0632" w14:textId="77777777" w:rsidR="000327B4" w:rsidRPr="00614C48" w:rsidRDefault="000327B4" w:rsidP="000327B4">
      <w:pPr>
        <w:rPr>
          <w:rFonts w:ascii="Open Sans" w:hAnsi="Open Sans" w:cs="Open Sans"/>
          <w:szCs w:val="20"/>
        </w:rPr>
      </w:pPr>
    </w:p>
    <w:p w14:paraId="78EAF5CB" w14:textId="77777777" w:rsidR="00C849D3" w:rsidRPr="003701F8" w:rsidRDefault="00C849D3" w:rsidP="00C849D3">
      <w:pPr>
        <w:rPr>
          <w:rFonts w:ascii="Open Sans" w:hAnsi="Open Sans" w:cs="Open Sans"/>
          <w:szCs w:val="20"/>
        </w:rPr>
      </w:pPr>
      <w:r w:rsidRPr="003701F8">
        <w:rPr>
          <w:rFonts w:ascii="Open Sans" w:hAnsi="Open Sans" w:cs="Open Sans"/>
          <w:noProof/>
          <w:szCs w:val="20"/>
        </w:rPr>
        <w:drawing>
          <wp:inline distT="0" distB="0" distL="0" distR="0" wp14:anchorId="040DC21D" wp14:editId="1EDC87D0">
            <wp:extent cx="2575832" cy="619618"/>
            <wp:effectExtent l="0" t="0" r="0" b="9525"/>
            <wp:docPr id="1" name="Picture 1" descr="https://www.vision401k.com/sites/vision401k2.us1.advisor.ws/files/styles/max_325x325/public/images/logo_0.png?itok=jTlCiy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sion401k.com/sites/vision401k2.us1.advisor.ws/files/styles/max_325x325/public/images/logo_0.png?itok=jTlCiy7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4990" cy="629037"/>
                    </a:xfrm>
                    <a:prstGeom prst="rect">
                      <a:avLst/>
                    </a:prstGeom>
                    <a:noFill/>
                    <a:ln>
                      <a:noFill/>
                    </a:ln>
                  </pic:spPr>
                </pic:pic>
              </a:graphicData>
            </a:graphic>
          </wp:inline>
        </w:drawing>
      </w:r>
    </w:p>
    <w:p w14:paraId="68E469F3" w14:textId="77777777" w:rsidR="00C849D3" w:rsidRPr="003701F8" w:rsidRDefault="00C849D3" w:rsidP="00C849D3">
      <w:pPr>
        <w:rPr>
          <w:rFonts w:ascii="Open Sans" w:hAnsi="Open Sans" w:cs="Open Sans"/>
          <w:szCs w:val="20"/>
        </w:rPr>
      </w:pPr>
      <w:r w:rsidRPr="003701F8">
        <w:rPr>
          <w:rFonts w:ascii="Open Sans" w:hAnsi="Open Sans" w:cs="Open Sans"/>
          <w:szCs w:val="20"/>
        </w:rPr>
        <w:t xml:space="preserve">Bill Franca AIF® </w:t>
      </w:r>
    </w:p>
    <w:p w14:paraId="1DC17D33" w14:textId="77777777" w:rsidR="00C849D3" w:rsidRPr="003701F8" w:rsidRDefault="00C849D3" w:rsidP="00C849D3">
      <w:pPr>
        <w:rPr>
          <w:rFonts w:ascii="Open Sans" w:hAnsi="Open Sans" w:cs="Open Sans"/>
          <w:szCs w:val="20"/>
        </w:rPr>
      </w:pPr>
      <w:r w:rsidRPr="003701F8">
        <w:rPr>
          <w:rFonts w:ascii="Open Sans" w:hAnsi="Open Sans" w:cs="Open Sans"/>
          <w:szCs w:val="20"/>
        </w:rPr>
        <w:t>Al Smith</w:t>
      </w:r>
    </w:p>
    <w:p w14:paraId="22ECD2EA" w14:textId="77777777" w:rsidR="00C849D3" w:rsidRPr="003701F8" w:rsidRDefault="00C849D3" w:rsidP="00C849D3">
      <w:pPr>
        <w:rPr>
          <w:rFonts w:ascii="Open Sans" w:hAnsi="Open Sans" w:cs="Open Sans"/>
          <w:szCs w:val="20"/>
        </w:rPr>
      </w:pPr>
      <w:r w:rsidRPr="003701F8">
        <w:rPr>
          <w:rFonts w:ascii="Open Sans" w:hAnsi="Open Sans" w:cs="Open Sans"/>
          <w:szCs w:val="20"/>
        </w:rPr>
        <w:t xml:space="preserve">205 Powell Place, Suite 357 </w:t>
      </w:r>
    </w:p>
    <w:p w14:paraId="72641620" w14:textId="77777777" w:rsidR="00C849D3" w:rsidRPr="003701F8" w:rsidRDefault="00C849D3" w:rsidP="00C849D3">
      <w:pPr>
        <w:rPr>
          <w:rFonts w:ascii="Open Sans" w:hAnsi="Open Sans" w:cs="Open Sans"/>
          <w:szCs w:val="20"/>
        </w:rPr>
      </w:pPr>
      <w:r w:rsidRPr="003701F8">
        <w:rPr>
          <w:rFonts w:ascii="Open Sans" w:hAnsi="Open Sans" w:cs="Open Sans"/>
          <w:szCs w:val="20"/>
        </w:rPr>
        <w:t xml:space="preserve">Brentwood, TN 37027 </w:t>
      </w:r>
    </w:p>
    <w:p w14:paraId="04B1AF88" w14:textId="77777777" w:rsidR="00C849D3" w:rsidRPr="003701F8" w:rsidRDefault="00C849D3" w:rsidP="00C849D3">
      <w:pPr>
        <w:rPr>
          <w:rFonts w:ascii="Open Sans" w:hAnsi="Open Sans" w:cs="Open Sans"/>
          <w:szCs w:val="20"/>
        </w:rPr>
      </w:pPr>
      <w:r w:rsidRPr="003701F8">
        <w:rPr>
          <w:rFonts w:ascii="Open Sans" w:hAnsi="Open Sans" w:cs="Open Sans"/>
          <w:szCs w:val="20"/>
        </w:rPr>
        <w:lastRenderedPageBreak/>
        <w:t xml:space="preserve">615-807-2951 </w:t>
      </w:r>
    </w:p>
    <w:p w14:paraId="2FA7A915" w14:textId="77777777" w:rsidR="00C849D3" w:rsidRPr="003701F8" w:rsidRDefault="00C849D3" w:rsidP="00C849D3">
      <w:pPr>
        <w:rPr>
          <w:rFonts w:ascii="Open Sans" w:hAnsi="Open Sans" w:cs="Open Sans"/>
          <w:szCs w:val="20"/>
        </w:rPr>
      </w:pPr>
      <w:hyperlink r:id="rId10" w:history="1">
        <w:r w:rsidRPr="003701F8">
          <w:rPr>
            <w:rStyle w:val="Hyperlink"/>
            <w:rFonts w:ascii="Open Sans" w:hAnsi="Open Sans" w:cs="Open Sans"/>
            <w:szCs w:val="20"/>
          </w:rPr>
          <w:t>wmfranca@vision401k.com</w:t>
        </w:r>
      </w:hyperlink>
      <w:r w:rsidRPr="003701F8">
        <w:rPr>
          <w:rFonts w:ascii="Open Sans" w:hAnsi="Open Sans" w:cs="Open Sans"/>
          <w:szCs w:val="20"/>
        </w:rPr>
        <w:t xml:space="preserve"> </w:t>
      </w:r>
    </w:p>
    <w:p w14:paraId="4E0E58B4" w14:textId="77777777" w:rsidR="00C849D3" w:rsidRPr="003701F8" w:rsidRDefault="00C849D3" w:rsidP="00C849D3">
      <w:pPr>
        <w:rPr>
          <w:rFonts w:ascii="Open Sans" w:hAnsi="Open Sans" w:cs="Open Sans"/>
          <w:szCs w:val="20"/>
        </w:rPr>
      </w:pPr>
      <w:hyperlink r:id="rId11" w:history="1">
        <w:r w:rsidRPr="003701F8">
          <w:rPr>
            <w:rStyle w:val="Hyperlink"/>
            <w:rFonts w:ascii="Open Sans" w:hAnsi="Open Sans" w:cs="Open Sans"/>
            <w:szCs w:val="20"/>
          </w:rPr>
          <w:t>www.vision401k.com</w:t>
        </w:r>
      </w:hyperlink>
    </w:p>
    <w:p w14:paraId="176DD593" w14:textId="77777777" w:rsidR="00C849D3" w:rsidRPr="003701F8" w:rsidRDefault="00C849D3" w:rsidP="00C849D3">
      <w:pPr>
        <w:rPr>
          <w:rFonts w:ascii="Open Sans" w:hAnsi="Open Sans" w:cs="Open Sans"/>
          <w:szCs w:val="20"/>
        </w:rPr>
      </w:pPr>
    </w:p>
    <w:p w14:paraId="6BA71642" w14:textId="77777777" w:rsidR="00C849D3" w:rsidRPr="003701F8" w:rsidRDefault="00C849D3" w:rsidP="00C849D3">
      <w:pPr>
        <w:rPr>
          <w:rFonts w:ascii="Open Sans" w:hAnsi="Open Sans" w:cs="Open Sans"/>
          <w:szCs w:val="20"/>
        </w:rPr>
      </w:pPr>
      <w:r w:rsidRPr="003701F8">
        <w:rPr>
          <w:rFonts w:ascii="Open Sans" w:hAnsi="Open Sans" w:cs="Open Sans"/>
          <w:szCs w:val="20"/>
        </w:rPr>
        <w:t>Employee benefit consulting offered through Vision401K. Securities offered through Silver Oak Securities, Inc. Member FINRA/SIPC. Advisory Services offered through Vision Asset Management, a Registered Investment. Advisor not affiliated with Silver Oak Securities.</w:t>
      </w:r>
    </w:p>
    <w:p w14:paraId="7456BDA0" w14:textId="77777777" w:rsidR="000327B4" w:rsidRPr="00614C48" w:rsidRDefault="000327B4" w:rsidP="000327B4">
      <w:pPr>
        <w:pStyle w:val="Body"/>
        <w:spacing w:line="240" w:lineRule="auto"/>
        <w:rPr>
          <w:rFonts w:ascii="Open Sans" w:eastAsia="Open Sans" w:hAnsi="Open Sans" w:cs="Open Sans"/>
          <w:sz w:val="20"/>
          <w:szCs w:val="20"/>
        </w:rPr>
      </w:pPr>
      <w:r w:rsidRPr="00614C48">
        <w:rPr>
          <w:rFonts w:ascii="Open Sans" w:hAnsi="Open Sans" w:cs="Open Sans"/>
          <w:sz w:val="20"/>
          <w:szCs w:val="20"/>
        </w:rPr>
        <w:t>This information was developed as a general guide to educate plan sponsors and is not intended as authoritative guidance or tax/legal advice. Each plan has unique requirements, and you should consult your attorney or tax advisor for guidance on your specific situation.</w:t>
      </w:r>
    </w:p>
    <w:p w14:paraId="3EB58641" w14:textId="77777777" w:rsidR="000327B4" w:rsidRPr="00F3706C" w:rsidRDefault="000327B4" w:rsidP="000327B4">
      <w:pPr>
        <w:pStyle w:val="Body"/>
        <w:shd w:val="clear" w:color="auto" w:fill="FFFFFF"/>
        <w:spacing w:before="100" w:after="100" w:line="240" w:lineRule="auto"/>
        <w:rPr>
          <w:rFonts w:ascii="Open Sans" w:eastAsia="Open Sans" w:hAnsi="Open Sans" w:cs="Open Sans"/>
          <w:sz w:val="20"/>
          <w:szCs w:val="20"/>
        </w:rPr>
      </w:pPr>
      <w:r w:rsidRPr="00614C48">
        <w:rPr>
          <w:rFonts w:ascii="Open Sans" w:hAnsi="Open Sans" w:cs="Open Sans"/>
          <w:sz w:val="20"/>
          <w:szCs w:val="20"/>
        </w:rPr>
        <w:t>©</w:t>
      </w:r>
      <w:hyperlink r:id="rId12" w:history="1">
        <w:r w:rsidRPr="00E2704B">
          <w:rPr>
            <w:rStyle w:val="Hyperlink"/>
            <w:rFonts w:ascii="Open Sans" w:hAnsi="Open Sans" w:cs="Open Sans"/>
            <w:sz w:val="20"/>
            <w:szCs w:val="20"/>
          </w:rPr>
          <w:t>401(k) Marketing</w:t>
        </w:r>
      </w:hyperlink>
      <w:r w:rsidRPr="00614C48">
        <w:rPr>
          <w:rFonts w:ascii="Open Sans" w:hAnsi="Open Sans" w:cs="Open Sans"/>
          <w:sz w:val="20"/>
          <w:szCs w:val="20"/>
        </w:rPr>
        <w:t>, LLC.</w:t>
      </w:r>
      <w:r>
        <w:rPr>
          <w:rFonts w:ascii="Open Sans" w:hAnsi="Open Sans" w:cs="Open Sans"/>
          <w:sz w:val="20"/>
          <w:szCs w:val="20"/>
        </w:rPr>
        <w:t xml:space="preserve"> </w:t>
      </w:r>
      <w:r w:rsidRPr="00614C48">
        <w:rPr>
          <w:rFonts w:ascii="Open Sans" w:hAnsi="Open Sans" w:cs="Open Sans"/>
          <w:sz w:val="20"/>
          <w:szCs w:val="20"/>
        </w:rPr>
        <w:t>All rights reserved. Proprietary and confidential.</w:t>
      </w:r>
      <w:r>
        <w:rPr>
          <w:rFonts w:ascii="Open Sans" w:hAnsi="Open Sans" w:cs="Open Sans"/>
          <w:sz w:val="20"/>
          <w:szCs w:val="20"/>
        </w:rPr>
        <w:t xml:space="preserve"> </w:t>
      </w:r>
      <w:r w:rsidRPr="00614C48">
        <w:rPr>
          <w:rFonts w:ascii="Open Sans" w:hAnsi="Open Sans" w:cs="Open Sans"/>
          <w:sz w:val="20"/>
          <w:szCs w:val="20"/>
        </w:rPr>
        <w:t>Do not copy or distribute outside original intent.</w:t>
      </w:r>
    </w:p>
    <w:bookmarkEnd w:id="0"/>
    <w:p w14:paraId="54EC5171" w14:textId="77777777" w:rsidR="000327B4" w:rsidRPr="00B93DDF" w:rsidRDefault="000327B4" w:rsidP="000327B4"/>
    <w:p w14:paraId="6D0A9ED3" w14:textId="77777777" w:rsidR="00D41AE2" w:rsidRDefault="00D41AE2"/>
    <w:sectPr w:rsidR="00D41AE2" w:rsidSect="003905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5C81" w14:textId="77777777" w:rsidR="0039058B" w:rsidRDefault="0039058B" w:rsidP="000327B4">
      <w:pPr>
        <w:spacing w:after="0" w:line="240" w:lineRule="auto"/>
      </w:pPr>
      <w:r>
        <w:separator/>
      </w:r>
    </w:p>
  </w:endnote>
  <w:endnote w:type="continuationSeparator" w:id="0">
    <w:p w14:paraId="5769F920" w14:textId="77777777" w:rsidR="0039058B" w:rsidRDefault="0039058B" w:rsidP="0003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7C78" w14:textId="77777777" w:rsidR="0039058B" w:rsidRDefault="0039058B" w:rsidP="000327B4">
      <w:pPr>
        <w:spacing w:after="0" w:line="240" w:lineRule="auto"/>
      </w:pPr>
      <w:r>
        <w:separator/>
      </w:r>
    </w:p>
  </w:footnote>
  <w:footnote w:type="continuationSeparator" w:id="0">
    <w:p w14:paraId="70DA5B86" w14:textId="77777777" w:rsidR="0039058B" w:rsidRDefault="0039058B" w:rsidP="00032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136FB"/>
    <w:multiLevelType w:val="hybridMultilevel"/>
    <w:tmpl w:val="D81E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2226B5"/>
    <w:multiLevelType w:val="hybridMultilevel"/>
    <w:tmpl w:val="70FA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2716152">
    <w:abstractNumId w:val="0"/>
  </w:num>
  <w:num w:numId="2" w16cid:durableId="911349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B4"/>
    <w:rsid w:val="000327B4"/>
    <w:rsid w:val="00111CDF"/>
    <w:rsid w:val="001957C6"/>
    <w:rsid w:val="0034097F"/>
    <w:rsid w:val="0039058B"/>
    <w:rsid w:val="003E33B2"/>
    <w:rsid w:val="005E0474"/>
    <w:rsid w:val="006D5779"/>
    <w:rsid w:val="0079618A"/>
    <w:rsid w:val="00832F51"/>
    <w:rsid w:val="00891BCC"/>
    <w:rsid w:val="009759DE"/>
    <w:rsid w:val="009867B9"/>
    <w:rsid w:val="00C849D3"/>
    <w:rsid w:val="00C86EC3"/>
    <w:rsid w:val="00D41AE2"/>
    <w:rsid w:val="00E07068"/>
    <w:rsid w:val="00F64020"/>
    <w:rsid w:val="00FF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DAC9"/>
  <w15:chartTrackingRefBased/>
  <w15:docId w15:val="{306D7124-E15F-4A20-BEDE-CFE0EFEE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7B4"/>
    <w:pPr>
      <w:spacing w:line="256" w:lineRule="auto"/>
    </w:pPr>
    <w:rPr>
      <w:kern w:val="0"/>
      <w:sz w:val="20"/>
      <w14:ligatures w14:val="none"/>
    </w:rPr>
  </w:style>
  <w:style w:type="paragraph" w:styleId="Heading1">
    <w:name w:val="heading 1"/>
    <w:basedOn w:val="Normal"/>
    <w:next w:val="Normal"/>
    <w:link w:val="Heading1Char"/>
    <w:uiPriority w:val="9"/>
    <w:qFormat/>
    <w:rsid w:val="00111CDF"/>
    <w:pPr>
      <w:keepNext/>
      <w:keepLines/>
      <w:spacing w:before="240"/>
      <w:outlineLvl w:val="0"/>
    </w:pPr>
    <w:rPr>
      <w:rFonts w:asciiTheme="majorHAnsi" w:eastAsiaTheme="majorEastAsia" w:hAnsiTheme="majorHAnsi" w:cstheme="majorBidi"/>
      <w:b/>
      <w:color w:val="57B5B1" w:themeColor="accent1"/>
      <w:sz w:val="24"/>
      <w:szCs w:val="32"/>
    </w:rPr>
  </w:style>
  <w:style w:type="paragraph" w:styleId="Heading2">
    <w:name w:val="heading 2"/>
    <w:basedOn w:val="Normal"/>
    <w:next w:val="Normal"/>
    <w:link w:val="Heading2Char"/>
    <w:uiPriority w:val="9"/>
    <w:unhideWhenUsed/>
    <w:qFormat/>
    <w:rsid w:val="005E0474"/>
    <w:pPr>
      <w:keepNext/>
      <w:keepLines/>
      <w:spacing w:before="40"/>
      <w:outlineLvl w:val="1"/>
    </w:pPr>
    <w:rPr>
      <w:rFonts w:ascii="Open Sans" w:eastAsiaTheme="majorEastAsia" w:hAnsi="Open Sans"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CDF"/>
    <w:rPr>
      <w:rFonts w:asciiTheme="majorHAnsi" w:eastAsiaTheme="majorEastAsia" w:hAnsiTheme="majorHAnsi" w:cstheme="majorBidi"/>
      <w:b/>
      <w:color w:val="57B5B1" w:themeColor="accent1"/>
      <w:sz w:val="24"/>
      <w:szCs w:val="32"/>
    </w:rPr>
  </w:style>
  <w:style w:type="character" w:customStyle="1" w:styleId="Heading2Char">
    <w:name w:val="Heading 2 Char"/>
    <w:basedOn w:val="DefaultParagraphFont"/>
    <w:link w:val="Heading2"/>
    <w:uiPriority w:val="9"/>
    <w:rsid w:val="005E0474"/>
    <w:rPr>
      <w:rFonts w:ascii="Open Sans" w:eastAsiaTheme="majorEastAsia" w:hAnsi="Open Sans" w:cstheme="majorBidi"/>
      <w:b/>
      <w:kern w:val="0"/>
      <w:sz w:val="20"/>
      <w:szCs w:val="26"/>
      <w14:ligatures w14:val="none"/>
    </w:rPr>
  </w:style>
  <w:style w:type="paragraph" w:styleId="Title">
    <w:name w:val="Title"/>
    <w:basedOn w:val="Normal"/>
    <w:next w:val="Normal"/>
    <w:link w:val="TitleChar"/>
    <w:uiPriority w:val="10"/>
    <w:qFormat/>
    <w:rsid w:val="00111CDF"/>
    <w:pPr>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111CDF"/>
    <w:rPr>
      <w:rFonts w:asciiTheme="majorHAnsi" w:eastAsiaTheme="majorEastAsia" w:hAnsiTheme="majorHAnsi" w:cstheme="majorBidi"/>
      <w:spacing w:val="-10"/>
      <w:kern w:val="28"/>
      <w:sz w:val="36"/>
      <w:szCs w:val="56"/>
    </w:rPr>
  </w:style>
  <w:style w:type="paragraph" w:styleId="ListParagraph">
    <w:name w:val="List Paragraph"/>
    <w:basedOn w:val="Normal"/>
    <w:uiPriority w:val="34"/>
    <w:qFormat/>
    <w:rsid w:val="00111CDF"/>
    <w:pPr>
      <w:ind w:left="720"/>
      <w:contextualSpacing/>
    </w:pPr>
  </w:style>
  <w:style w:type="paragraph" w:customStyle="1" w:styleId="Style1">
    <w:name w:val="Style1"/>
    <w:basedOn w:val="Normal"/>
    <w:autoRedefine/>
    <w:qFormat/>
    <w:rsid w:val="00F64020"/>
  </w:style>
  <w:style w:type="character" w:styleId="Hyperlink">
    <w:name w:val="Hyperlink"/>
    <w:basedOn w:val="DefaultParagraphFont"/>
    <w:uiPriority w:val="99"/>
    <w:unhideWhenUsed/>
    <w:rsid w:val="000327B4"/>
    <w:rPr>
      <w:color w:val="0000FF"/>
      <w:u w:val="single"/>
    </w:rPr>
  </w:style>
  <w:style w:type="paragraph" w:customStyle="1" w:styleId="Body">
    <w:name w:val="Body"/>
    <w:rsid w:val="000327B4"/>
    <w:pPr>
      <w:pBdr>
        <w:top w:val="nil"/>
        <w:left w:val="nil"/>
        <w:bottom w:val="nil"/>
        <w:right w:val="nil"/>
        <w:between w:val="nil"/>
        <w:bar w:val="nil"/>
      </w:pBdr>
      <w:spacing w:line="256" w:lineRule="auto"/>
    </w:pPr>
    <w:rPr>
      <w:rFonts w:ascii="Calibri" w:eastAsia="Calibri" w:hAnsi="Calibri" w:cs="Calibri"/>
      <w:color w:val="000000"/>
      <w:kern w:val="0"/>
      <w:u w:color="000000"/>
      <w:bdr w:val="nil"/>
      <w14:textOutline w14:w="0" w14:cap="flat" w14:cmpd="sng" w14:algn="ctr">
        <w14:noFill/>
        <w14:prstDash w14:val="solid"/>
        <w14:bevel/>
      </w14:textOutline>
      <w14:ligatures w14:val="none"/>
    </w:rPr>
  </w:style>
  <w:style w:type="paragraph" w:styleId="NormalWeb">
    <w:name w:val="Normal (Web)"/>
    <w:basedOn w:val="Normal"/>
    <w:uiPriority w:val="99"/>
    <w:semiHidden/>
    <w:unhideWhenUsed/>
    <w:rsid w:val="000327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0327B4"/>
  </w:style>
  <w:style w:type="paragraph" w:styleId="Subtitle">
    <w:name w:val="Subtitle"/>
    <w:basedOn w:val="Heading1"/>
    <w:next w:val="Normal"/>
    <w:link w:val="SubtitleChar"/>
    <w:uiPriority w:val="11"/>
    <w:qFormat/>
    <w:rsid w:val="000327B4"/>
    <w:pPr>
      <w:spacing w:after="0"/>
    </w:pPr>
    <w:rPr>
      <w:rFonts w:asciiTheme="minorHAnsi" w:hAnsiTheme="minorHAnsi"/>
      <w:b w:val="0"/>
      <w:i/>
      <w:iCs/>
      <w:color w:val="auto"/>
      <w:sz w:val="20"/>
    </w:rPr>
  </w:style>
  <w:style w:type="character" w:customStyle="1" w:styleId="SubtitleChar">
    <w:name w:val="Subtitle Char"/>
    <w:basedOn w:val="DefaultParagraphFont"/>
    <w:link w:val="Subtitle"/>
    <w:uiPriority w:val="11"/>
    <w:rsid w:val="000327B4"/>
    <w:rPr>
      <w:rFonts w:eastAsiaTheme="majorEastAsia" w:cstheme="majorBidi"/>
      <w:i/>
      <w:iCs/>
      <w:kern w:val="0"/>
      <w:sz w:val="20"/>
      <w:szCs w:val="32"/>
      <w14:ligatures w14:val="none"/>
    </w:rPr>
  </w:style>
  <w:style w:type="paragraph" w:styleId="FootnoteText">
    <w:name w:val="footnote text"/>
    <w:basedOn w:val="Normal"/>
    <w:link w:val="FootnoteTextChar"/>
    <w:uiPriority w:val="99"/>
    <w:semiHidden/>
    <w:unhideWhenUsed/>
    <w:rsid w:val="000327B4"/>
    <w:pPr>
      <w:spacing w:after="0" w:line="240" w:lineRule="auto"/>
    </w:pPr>
    <w:rPr>
      <w:rFonts w:ascii="Open Sans" w:hAnsi="Open Sans"/>
      <w:szCs w:val="20"/>
    </w:rPr>
  </w:style>
  <w:style w:type="character" w:customStyle="1" w:styleId="FootnoteTextChar">
    <w:name w:val="Footnote Text Char"/>
    <w:basedOn w:val="DefaultParagraphFont"/>
    <w:link w:val="FootnoteText"/>
    <w:uiPriority w:val="99"/>
    <w:semiHidden/>
    <w:rsid w:val="000327B4"/>
    <w:rPr>
      <w:rFonts w:ascii="Open Sans" w:hAnsi="Open Sans"/>
      <w:kern w:val="0"/>
      <w:sz w:val="20"/>
      <w:szCs w:val="20"/>
      <w14:ligatures w14:val="none"/>
    </w:rPr>
  </w:style>
  <w:style w:type="character" w:styleId="FootnoteReference">
    <w:name w:val="footnote reference"/>
    <w:basedOn w:val="DefaultParagraphFont"/>
    <w:uiPriority w:val="99"/>
    <w:semiHidden/>
    <w:unhideWhenUsed/>
    <w:rsid w:val="000327B4"/>
    <w:rPr>
      <w:vertAlign w:val="superscript"/>
    </w:rPr>
  </w:style>
  <w:style w:type="paragraph" w:styleId="NoSpacing">
    <w:name w:val="No Spacing"/>
    <w:uiPriority w:val="1"/>
    <w:qFormat/>
    <w:rsid w:val="00891BCC"/>
    <w:pPr>
      <w:spacing w:after="0" w:line="240" w:lineRule="auto"/>
    </w:pPr>
    <w:rPr>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lendly.com/sasharpm/rpm-client-support?month=2021-07" TargetMode="External"/><Relationship Id="rId12" Type="http://schemas.openxmlformats.org/officeDocument/2006/relationships/hyperlink" Target="https://www.401k-marke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on401k.com" TargetMode="External"/><Relationship Id="rId5" Type="http://schemas.openxmlformats.org/officeDocument/2006/relationships/footnotes" Target="footnotes.xml"/><Relationship Id="rId10" Type="http://schemas.openxmlformats.org/officeDocument/2006/relationships/hyperlink" Target="mailto:wmfranca@vision401k.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PM - 2021">
      <a:dk1>
        <a:srgbClr val="243746"/>
      </a:dk1>
      <a:lt1>
        <a:sysClr val="window" lastClr="FFFFFF"/>
      </a:lt1>
      <a:dk2>
        <a:srgbClr val="243746"/>
      </a:dk2>
      <a:lt2>
        <a:srgbClr val="E7E6E6"/>
      </a:lt2>
      <a:accent1>
        <a:srgbClr val="57B5B1"/>
      </a:accent1>
      <a:accent2>
        <a:srgbClr val="243746"/>
      </a:accent2>
      <a:accent3>
        <a:srgbClr val="76777B"/>
      </a:accent3>
      <a:accent4>
        <a:srgbClr val="417878"/>
      </a:accent4>
      <a:accent5>
        <a:srgbClr val="F37321"/>
      </a:accent5>
      <a:accent6>
        <a:srgbClr val="71AD6B"/>
      </a:accent6>
      <a:hlink>
        <a:srgbClr val="3F73B9"/>
      </a:hlink>
      <a:folHlink>
        <a:srgbClr val="3CBFEF"/>
      </a:folHlink>
    </a:clrScheme>
    <a:fontScheme name="RPM-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Cibrian</dc:creator>
  <cp:keywords/>
  <dc:description/>
  <cp:lastModifiedBy>Sasha Cibrian</cp:lastModifiedBy>
  <cp:revision>4</cp:revision>
  <dcterms:created xsi:type="dcterms:W3CDTF">2024-02-16T21:32:00Z</dcterms:created>
  <dcterms:modified xsi:type="dcterms:W3CDTF">2024-03-20T18:25:00Z</dcterms:modified>
</cp:coreProperties>
</file>